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spacing w:line="360" w:lineRule="auto"/>
        <w:ind w:left="4536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pStyle w:val="ConsPlusNormal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 Порядку предоставления </w:t>
      </w:r>
    </w:p>
    <w:p>
      <w:pPr>
        <w:pStyle w:val="ConsPlusNormal"/>
        <w:ind w:left="4536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и</w:t>
      </w:r>
      <w:proofErr w:type="gramEnd"/>
      <w:r>
        <w:rPr>
          <w:rFonts w:ascii="PT Astra Serif" w:hAnsi="PT Astra Serif"/>
          <w:sz w:val="28"/>
          <w:szCs w:val="28"/>
        </w:rPr>
        <w:t xml:space="preserve"> распределения иных межбюджетных трансфертов из бюджета муниципального образования Тазовский район бюджетам поселений, входящих в состав Тазовского района, в целях </w:t>
      </w:r>
      <w:proofErr w:type="spellStart"/>
      <w:r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в области владения, пользования и распоряжения имуществом, находящимся</w:t>
      </w:r>
    </w:p>
    <w:p>
      <w:pPr>
        <w:pStyle w:val="ConsPlusNormal"/>
        <w:ind w:left="4536"/>
        <w:rPr>
          <w:rFonts w:ascii="PT Astra Serif" w:hAnsi="PT Astra Serif"/>
          <w:sz w:val="28"/>
          <w:szCs w:val="28"/>
        </w:rPr>
      </w:pPr>
      <w:bookmarkStart w:id="0" w:name="_GoBack"/>
      <w:bookmarkEnd w:id="0"/>
      <w:proofErr w:type="gramStart"/>
      <w:r>
        <w:rPr>
          <w:rFonts w:ascii="PT Astra Serif" w:hAnsi="PT Astra Serif"/>
          <w:sz w:val="28"/>
          <w:szCs w:val="28"/>
        </w:rPr>
        <w:t>в</w:t>
      </w:r>
      <w:proofErr w:type="gramEnd"/>
      <w:r>
        <w:rPr>
          <w:rFonts w:ascii="PT Astra Serif" w:hAnsi="PT Astra Serif"/>
          <w:sz w:val="28"/>
          <w:szCs w:val="28"/>
        </w:rPr>
        <w:t xml:space="preserve"> муниципальной собственности, </w:t>
      </w:r>
    </w:p>
    <w:p>
      <w:pPr>
        <w:pStyle w:val="ConsPlusNormal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рамках реализации мероприятий </w:t>
      </w:r>
    </w:p>
    <w:p>
      <w:pPr>
        <w:pStyle w:val="ConsPlusNormal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 приобретению жилых помещений </w:t>
      </w:r>
    </w:p>
    <w:p>
      <w:pPr>
        <w:pStyle w:val="ConsPlusNormal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для предоставления гражданам </w:t>
      </w:r>
    </w:p>
    <w:p>
      <w:pPr>
        <w:pStyle w:val="ConsPlusNormal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 договору социального найма (мены) жилого помещения, выплате возмещения собственникам за изымаемые жилые помещения в рамках мероприятий </w:t>
      </w:r>
    </w:p>
    <w:p>
      <w:pPr>
        <w:pStyle w:val="ConsPlusNormal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расселению жилищного фонда, признанного непригодным для проживания после 01 января 2017 года</w:t>
      </w:r>
    </w:p>
    <w:p>
      <w:pPr>
        <w:pStyle w:val="ConsPlusNormal"/>
        <w:jc w:val="center"/>
        <w:rPr>
          <w:rFonts w:ascii="PT Astra Serif" w:hAnsi="PT Astra Serif"/>
          <w:sz w:val="24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4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4"/>
          <w:szCs w:val="28"/>
        </w:rPr>
      </w:pPr>
    </w:p>
    <w:p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</w:t>
      </w:r>
    </w:p>
    <w:p>
      <w:pPr>
        <w:pStyle w:val="ConsPlusNormal"/>
        <w:jc w:val="center"/>
        <w:rPr>
          <w:rFonts w:ascii="PT Astra Serif" w:hAnsi="PT Astra Serif"/>
          <w:szCs w:val="28"/>
        </w:rPr>
      </w:pPr>
    </w:p>
    <w:p>
      <w:pPr>
        <w:pStyle w:val="ConsPlusNormal"/>
        <w:jc w:val="center"/>
        <w:rPr>
          <w:rFonts w:ascii="PT Astra Serif" w:hAnsi="PT Astra Serif"/>
          <w:szCs w:val="28"/>
        </w:rPr>
      </w:pPr>
    </w:p>
    <w:p>
      <w:pPr>
        <w:pStyle w:val="ConsPlusNormal"/>
        <w:jc w:val="center"/>
        <w:rPr>
          <w:rFonts w:ascii="PT Astra Serif" w:hAnsi="PT Astra Serif"/>
          <w:szCs w:val="28"/>
        </w:rPr>
      </w:pPr>
    </w:p>
    <w:p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bookmarkStart w:id="1" w:name="P133"/>
      <w:bookmarkEnd w:id="1"/>
      <w:r>
        <w:rPr>
          <w:rFonts w:ascii="PT Astra Serif" w:hAnsi="PT Astra Serif"/>
          <w:b/>
          <w:sz w:val="28"/>
          <w:szCs w:val="28"/>
        </w:rPr>
        <w:t>РЕЕСТР</w:t>
      </w:r>
    </w:p>
    <w:p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аварийных домов, планируемых к расселению</w:t>
      </w:r>
    </w:p>
    <w:p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в рамках мероприятий по решению отдельных вопросов местного значения в области владения, пользования и распоряжения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муниципальным имуществом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"/>
        <w:gridCol w:w="5613"/>
        <w:gridCol w:w="3330"/>
      </w:tblGrid>
      <w:tr>
        <w:trPr>
          <w:trHeight w:val="24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  <w:lang w:eastAsia="en-US"/>
              </w:rPr>
            </w:pPr>
            <w:r>
              <w:rPr>
                <w:rFonts w:ascii="PT Astra Serif" w:hAnsi="PT Astra Serif"/>
                <w:szCs w:val="22"/>
                <w:lang w:eastAsia="en-US"/>
              </w:rPr>
              <w:t>№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Cs w:val="22"/>
                <w:lang w:eastAsia="en-US"/>
              </w:rPr>
            </w:pPr>
            <w:proofErr w:type="gramStart"/>
            <w:r>
              <w:rPr>
                <w:rFonts w:ascii="PT Astra Serif" w:hAnsi="PT Astra Serif"/>
                <w:szCs w:val="22"/>
                <w:lang w:eastAsia="en-US"/>
              </w:rPr>
              <w:t>п</w:t>
            </w:r>
            <w:proofErr w:type="gramEnd"/>
            <w:r>
              <w:rPr>
                <w:rFonts w:ascii="PT Astra Serif" w:hAnsi="PT Astra Serif"/>
                <w:szCs w:val="22"/>
                <w:lang w:eastAsia="en-US"/>
              </w:rPr>
              <w:t>/п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  <w:lang w:eastAsia="en-US"/>
              </w:rPr>
            </w:pPr>
            <w:r>
              <w:rPr>
                <w:rFonts w:ascii="PT Astra Serif" w:hAnsi="PT Astra Serif"/>
                <w:szCs w:val="22"/>
                <w:lang w:eastAsia="en-US"/>
              </w:rPr>
              <w:t>Наименование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  <w:lang w:eastAsia="en-US"/>
              </w:rPr>
            </w:pPr>
            <w:r>
              <w:rPr>
                <w:rFonts w:ascii="PT Astra Serif" w:hAnsi="PT Astra Serif"/>
                <w:szCs w:val="22"/>
                <w:lang w:eastAsia="en-US"/>
              </w:rPr>
              <w:t>Адрес</w:t>
            </w:r>
          </w:p>
        </w:tc>
      </w:tr>
      <w:tr>
        <w:trPr>
          <w:trHeight w:val="2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  <w:lang w:eastAsia="en-US"/>
              </w:rPr>
            </w:pPr>
            <w:r>
              <w:rPr>
                <w:rFonts w:ascii="PT Astra Serif" w:hAnsi="PT Astra Serif"/>
                <w:szCs w:val="22"/>
                <w:lang w:eastAsia="en-US"/>
              </w:rPr>
              <w:t>1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  <w:lang w:eastAsia="en-US"/>
              </w:rPr>
            </w:pPr>
            <w:r>
              <w:rPr>
                <w:rFonts w:ascii="PT Astra Serif" w:hAnsi="PT Astra Serif"/>
                <w:szCs w:val="22"/>
                <w:lang w:eastAsia="en-US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  <w:lang w:eastAsia="en-US"/>
              </w:rPr>
            </w:pPr>
            <w:r>
              <w:rPr>
                <w:rFonts w:ascii="PT Astra Serif" w:hAnsi="PT Astra Serif"/>
                <w:szCs w:val="22"/>
                <w:lang w:eastAsia="en-US"/>
              </w:rPr>
              <w:t>3</w:t>
            </w:r>
          </w:p>
        </w:tc>
      </w:tr>
      <w:tr>
        <w:trPr>
          <w:trHeight w:val="12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  <w:r>
              <w:rPr>
                <w:rFonts w:ascii="PT Astra Serif" w:hAnsi="PT Astra Serif"/>
                <w:sz w:val="18"/>
                <w:szCs w:val="28"/>
                <w:lang w:eastAsia="en-US"/>
              </w:rPr>
              <w:t>1.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</w:p>
        </w:tc>
      </w:tr>
      <w:t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  <w:r>
              <w:rPr>
                <w:rFonts w:ascii="PT Astra Serif" w:hAnsi="PT Astra Serif"/>
                <w:sz w:val="18"/>
                <w:szCs w:val="28"/>
                <w:lang w:eastAsia="en-US"/>
              </w:rPr>
              <w:t>2.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</w:p>
        </w:tc>
      </w:tr>
      <w:t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  <w:r>
              <w:rPr>
                <w:rFonts w:ascii="PT Astra Serif" w:hAnsi="PT Astra Serif"/>
                <w:sz w:val="18"/>
                <w:szCs w:val="28"/>
                <w:lang w:eastAsia="en-US"/>
              </w:rPr>
              <w:t>3.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</w:p>
        </w:tc>
      </w:tr>
      <w:tr>
        <w:trPr>
          <w:trHeight w:val="70"/>
        </w:trPr>
        <w:tc>
          <w:tcPr>
            <w:tcW w:w="6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28"/>
                <w:lang w:eastAsia="en-US"/>
              </w:rPr>
            </w:pPr>
          </w:p>
        </w:tc>
      </w:tr>
    </w:tbl>
    <w:p>
      <w:pPr>
        <w:pStyle w:val="ConsPlusNormal"/>
        <w:outlineLvl w:val="0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D2E356-52F6-4D34-9361-08822114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1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Фадеева Алена Михайловна</cp:lastModifiedBy>
  <cp:revision>10</cp:revision>
  <cp:lastPrinted>2020-08-05T10:21:00Z</cp:lastPrinted>
  <dcterms:created xsi:type="dcterms:W3CDTF">2020-07-29T06:10:00Z</dcterms:created>
  <dcterms:modified xsi:type="dcterms:W3CDTF">2020-08-05T10:21:00Z</dcterms:modified>
</cp:coreProperties>
</file>